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Head of profession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Vision and strategic leadership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the vision and strategy for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Collaborate with the wider Department to ensure that the vision for the profession aligns to the wider needs of the department.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 plan and roadmap to build and strengthen the professional capability and excellence.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across government and the sector to ensure a cohesive approach to the specialism, create opportunities for collaboration through existing networks – or setting up new networks where they don’t exist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Hold authority to ensure that specialists are able to contribute towards building the profession and participate in communities, backed by DDaT Committee.*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Raising the profile of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an attraction and retention strategy, to grow professional capability in the department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Expert practitioner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Is the expert practitioner in their field with a high level of knowledge of current and new methodologies/strategies/technologies/techniques and a track record of delivery.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Retains an element of practice of their profession to keep their skills sharp and to work towards strategic departmental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for example, unblocking delivery, product strategies, content strategies, architectural designs and patterns, etc.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Community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Developing professional communities to support our people to grow, establish standards and consistency, support rapid delivery through sharing and learning from one another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cross*Government and externally to build connections into professional communities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 other Heads of Profession in related professions within their job family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Quality and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accessible knowledge, standards, and practice to set good conditions for people in their professions to work effectively, and ensuring they are well enforced through service assessments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Being the guardian of quality and standards of the practitioners within the profession and the principles and policies of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by example in the application of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Grow the assessor pool in the profession, to assure service delivery and build profession sustainability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People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and growing a forward*thinking and diverse team within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the professional capability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Define the competency, professional practice, skills profile, and expertise expectations at different grades across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approach for recruitment, onboarding, retention, graduate pipelines, diversification and developing the framework for professional development of people in their specialism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the framework for professional development of people in their specialism and tracking capability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Organisational Delivery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Establishing close relationships with all delivery teams to understand their needs and challenges and to be able to identify areas of professionrelated joinup**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Advising and consulting for the senior management team on questions relating to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Providing consulting support for programmes with performance issues or where a particular specialism is lacking or causing delivery issues.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Feed uptodate capability information into the workforce plan.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Making evidenced based decisions on the best tools, platforms, services, and content which supports the professions across the department.</w:t>
      </w:r>
    </w:p>
    <w:p>
      <w:pPr>
        <w:spacing w:after="200"/>
      </w:pPr>
    </w:p>
    <w:p>
      <w:pPr>
        <w:spacing w:after="100"/>
      </w:pPr>
      <w:r>
        <w:rPr>
          <w:rFonts w:ascii="Aptos" w:cs="Aptos" w:eastAsia="Aptos" w:hAnsi="Aptos"/>
        </w:rPr>
        <w:t xml:space="preserve">* This authority needs to be established.</w:t>
      </w:r>
    </w:p>
    <w:p>
      <w:pPr>
        <w:spacing w:after="100"/>
      </w:pPr>
      <w:r>
        <w:rPr>
          <w:rFonts w:ascii="Aptos" w:cs="Aptos" w:eastAsia="Aptos" w:hAnsi="Aptos"/>
        </w:rPr>
        <w:t xml:space="preserve">** Responsibility for delivery or a role in making business decisions is not explicitly included. This may differ by profession.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2026-10-25T14:53:02.874Z</dcterms:created>
  <dcterms:modified xsi:type="dcterms:W3CDTF">2026-10-25T14:53:02.874Z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