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Head of profession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Vision and strategic leadership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the vision and strategy for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Collaborate with the wider Department to ensure that the vision for the profession aligns to the wider needs of the department.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 plan and roadmap to build and strengthen the professional capability and excellence.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across government and the sector to ensure a cohesive approach to the specialism, create opportunities for collaboration through existing networks – or setting up new networks where they don’t exist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Hold authority to ensure that specialists are able to contribute towards building the profession and participate in communities, backed by DDaT Committee.*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Raising the profile of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an attraction and retention strategy, to grow professional capability in the department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Expert practitioner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Is the expert practitioner in their field with a high level of knowledge of current and new methodologies/strategies/technologies/techniques and a track record of delivery.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Retains an element of practice of their profession to keep their skills sharp and to work towards strategic departmental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for example, unblocking delivery, product strategies, content strategies, architectural designs and patterns, etc.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Community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Developing professional communities to support our people to grow, establish standards and consistency, support rapid delivery through sharing and learning from one another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cross*Government and externally to build connections into professional communities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 other Heads of Profession in related professions within their job family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Quality and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accessible knowledge, standards, and practice to set good conditions for people in their professions to work effectively, and ensuring they are well enforced through service assessments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Being the guardian of quality and standards of the practitioners within the profession and the principles and policies of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by example in the application of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Grow the assessor pool in the profession, to assure service delivery and build profession sustainability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People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and growing a forward*thinking and diverse team within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the professional capability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Define the competency, professional practice, skills profile, and expertise expectations at different grades across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approach for recruitment, onboarding, retention, graduate pipelines, diversification and developing the framework for professional development of people in their specialism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the framework for professional development of people in their specialism and tracking capability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Organisational Delivery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Establishing close relationships with all delivery teams to understand their needs and challenges and to be able to identify areas of professionrelated joinup**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Advising and consulting for the senior management team on questions relating to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Providing consulting support for programmes with performance issues or where a particular specialism is lacking or causing delivery issues.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Feed uptodate capability information into the workforce plan.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Making evidenced based decisions on the best tools, platforms, services, and content which supports the professions across the department.</w:t>
      </w:r>
    </w:p>
    <w:p>
      <w:pPr>
        <w:spacing w:after="200"/>
      </w:pPr>
    </w:p>
    <w:p>
      <w:pPr>
        <w:spacing w:after="100"/>
      </w:pPr>
      <w:r>
        <w:rPr>
          <w:rFonts w:ascii="Aptos" w:cs="Aptos" w:eastAsia="Aptos" w:hAnsi="Aptos"/>
        </w:rPr>
        <w:t xml:space="preserve">* This authority needs to be established.</w:t>
      </w:r>
    </w:p>
    <w:p>
      <w:pPr>
        <w:spacing w:after="100"/>
      </w:pPr>
      <w:r>
        <w:rPr>
          <w:rFonts w:ascii="Aptos" w:cs="Aptos" w:eastAsia="Aptos" w:hAnsi="Aptos"/>
        </w:rPr>
        <w:t xml:space="preserve">** Responsibility for delivery or a role in making business decisions is not explicitly included. This may differ by profession.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2026-09-09T03:52:06.258Z</dcterms:created>
  <dcterms:modified xsi:type="dcterms:W3CDTF">2026-09-09T03:52:06.258Z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